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 w:line="240" w:lineRule="auto"/>
        <w:ind w:left="146" w:right="129"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b w:val="1"/>
          <w:bCs w:val="1"/>
          <w:rtl w:val="0"/>
        </w:rPr>
        <w:t xml:space="preserve">Loi AGEC : </w:t>
      </w:r>
      <w:r w:rsidDel="00000000" w:rsidR="00000000" w:rsidRPr="00000000">
        <w:rPr>
          <w:rFonts w:ascii="Helvetica Neue" w:cs="Helvetica Neue" w:eastAsia="Helvetica Neue" w:hAnsi="Helvetica Neue"/>
          <w:rtl w:val="0"/>
        </w:rPr>
        <w:t xml:space="preserve">La loi AGEC, loi n° 2020-105 du 10 février 2020 relative à la lutte contre le gaspillage et à l’économie circulaire, vise à transformer les modes de production et de consommation afin de limiter les déchets, préserver les ressources naturelles et favoriser le réemploi et le recyclage.</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 w:line="240" w:lineRule="auto"/>
        <w:ind w:left="146" w:right="129"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Cette loi dite « Loi AGEC » prévoit notamment plusieurs mesures applicables à la restauration collective, en particulier la réduction du gaspillage alimentaire, la suppression progressive de certains plastiques à usage unique et le développement de pratiques favorisant le réemploi et le recyclage.</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 w:line="240" w:lineRule="auto"/>
        <w:ind w:left="146" w:right="129" w:firstLine="0"/>
        <w:jc w:val="both"/>
        <w:rPr>
          <w:rFonts w:ascii="Helvetica Neue" w:cs="Helvetica Neue" w:eastAsia="Helvetica Neue" w:hAnsi="Helvetica Neue"/>
          <w:color w:val="1155cc"/>
          <w:u w:val="single"/>
        </w:rPr>
      </w:pPr>
      <w:r w:rsidDel="00000000" w:rsidR="00000000" w:rsidRPr="00000000">
        <w:rPr>
          <w:rFonts w:ascii="Helvetica Neue" w:cs="Helvetica Neue" w:eastAsia="Helvetica Neue" w:hAnsi="Helvetica Neue"/>
          <w:rtl w:val="0"/>
        </w:rPr>
        <w:t xml:space="preserve">Accès au texte intégral : </w:t>
      </w:r>
      <w:hyperlink r:id="rId7">
        <w:r w:rsidDel="00000000" w:rsidR="00000000" w:rsidRPr="00000000">
          <w:rPr>
            <w:rFonts w:ascii="Helvetica Neue" w:cs="Helvetica Neue" w:eastAsia="Helvetica Neue" w:hAnsi="Helvetica Neue"/>
            <w:color w:val="1155cc"/>
            <w:u w:val="single"/>
            <w:rtl w:val="0"/>
          </w:rPr>
          <w:t xml:space="preserve">https://www.legifrance.gouv.fr/jorf/id/JORFTEXT000041553759</w:t>
        </w:r>
      </w:hyperlink>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 w:line="240" w:lineRule="auto"/>
        <w:ind w:left="146" w:right="129"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Alimentation durable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Alimentation protégeant la biodiversité et les écosystèmes, est acceptable culturellement, accessible, économiquement loyale et réaliste, sûre, nutritionnellement adéquate et bonne pour la santé, optimise l’usage des ressources naturelles et humaines.</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 w:line="276" w:lineRule="auto"/>
        <w:ind w:left="146" w:right="133"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Approvisionnement en circuit court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approvisionnement en produits agricoles par la vente directe du producteur au consommateur, ou par la vente indirecte, à condition qu’il n’y ait qu’un seul intermédiaire entre l’exploitant et le consommateur. En restauration collective, le restaurant est considéré comme consommateur : la vente de proximité doit être direct du producteur au restaurant, ou avec un intermédiaire économique entre les deux.</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 w:line="276" w:lineRule="auto"/>
        <w:ind w:left="146" w:right="134"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Approvisionnement de proximité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approvisionnement qui rapproche la production agricole, de la consommation alimentaire, via des filières de proximité (pas de considération du nombre d’intermédiaires).</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78.00000000000006" w:lineRule="auto"/>
        <w:ind w:left="146" w:right="129"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Cahier de grammage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document contractuel et évolutif reflétant l’offre susceptible d’être proposée au self. Il comporte l’intitulé des plats, leur composition, leur prix, leur grammage, et les produits labellisés le cas échéant.</w:t>
      </w:r>
    </w:p>
    <w:p w:rsidR="00000000" w:rsidDel="00000000" w:rsidP="00000000" w:rsidRDefault="00000000" w:rsidRPr="00000000" w14:paraId="00000008">
      <w:pPr>
        <w:spacing w:before="231" w:lineRule="auto"/>
        <w:ind w:left="146" w:right="0"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b w:val="1"/>
          <w:bCs w:val="1"/>
          <w:rtl w:val="0"/>
        </w:rPr>
        <w:t xml:space="preserve">Loi Climat &amp; Résilience : </w:t>
      </w:r>
      <w:r w:rsidDel="00000000" w:rsidR="00000000" w:rsidRPr="00000000">
        <w:rPr>
          <w:rFonts w:ascii="Helvetica Neue" w:cs="Helvetica Neue" w:eastAsia="Helvetica Neue" w:hAnsi="Helvetica Neue"/>
          <w:rtl w:val="0"/>
        </w:rPr>
        <w:t xml:space="preserve">La loi Climat et Résilience, loi n° 2021-1104 du 22 août 2021 portant lutte contre le dérèglement climatique et renforcement de la résilience face à ses effets, vise à accélérer la transition écologique dans de nombreux secteurs (consommation, production, transports, logement, urbanisme ou encore alimentation).</w:t>
      </w:r>
    </w:p>
    <w:p w:rsidR="00000000" w:rsidDel="00000000" w:rsidP="00000000" w:rsidRDefault="00000000" w:rsidRPr="00000000" w14:paraId="00000009">
      <w:pPr>
        <w:spacing w:before="231" w:lineRule="auto"/>
        <w:ind w:left="146" w:right="0"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Cette loi dite « Loi Climat et Résilience » complète notamment les dispositions de la loi EGAlim pour la restauration collective, en renforçant certaines obligations en matière d’alimentation durable, de lutte contre le gaspillage alimentaire et de diversification des sources de protéines.</w:t>
      </w:r>
    </w:p>
    <w:p w:rsidR="00000000" w:rsidDel="00000000" w:rsidP="00000000" w:rsidRDefault="00000000" w:rsidRPr="00000000" w14:paraId="0000000A">
      <w:pPr>
        <w:spacing w:before="231" w:lineRule="auto"/>
        <w:ind w:left="146" w:right="0" w:firstLine="0"/>
        <w:jc w:val="both"/>
        <w:rPr>
          <w:rFonts w:ascii="Helvetica Neue" w:cs="Helvetica Neue" w:eastAsia="Helvetica Neue" w:hAnsi="Helvetica Neue"/>
          <w:color w:val="1155cc"/>
          <w:u w:val="single"/>
        </w:rPr>
      </w:pPr>
      <w:r w:rsidDel="00000000" w:rsidR="00000000" w:rsidRPr="00000000">
        <w:rPr>
          <w:rFonts w:ascii="Helvetica Neue" w:cs="Helvetica Neue" w:eastAsia="Helvetica Neue" w:hAnsi="Helvetica Neue"/>
          <w:rtl w:val="0"/>
        </w:rPr>
        <w:t xml:space="preserve">Accès au texte intégral : </w:t>
      </w:r>
      <w:hyperlink r:id="rId8">
        <w:r w:rsidDel="00000000" w:rsidR="00000000" w:rsidRPr="00000000">
          <w:rPr>
            <w:rFonts w:ascii="Helvetica Neue" w:cs="Helvetica Neue" w:eastAsia="Helvetica Neue" w:hAnsi="Helvetica Neue"/>
            <w:color w:val="1155cc"/>
            <w:u w:val="single"/>
            <w:rtl w:val="0"/>
          </w:rPr>
          <w:t xml:space="preserve">https://www.legifrance.gouv.fr/jorf/id/JORFTEXT000043956924</w:t>
        </w:r>
      </w:hyperlink>
      <w:r w:rsidDel="00000000" w:rsidR="00000000" w:rsidRPr="00000000">
        <w:rPr>
          <w:rtl w:val="0"/>
        </w:rPr>
      </w:r>
    </w:p>
    <w:p w:rsidR="00000000" w:rsidDel="00000000" w:rsidP="00000000" w:rsidRDefault="00000000" w:rsidRPr="00000000" w14:paraId="0000000B">
      <w:pPr>
        <w:spacing w:before="231" w:lineRule="auto"/>
        <w:ind w:left="146" w:right="0"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b w:val="1"/>
          <w:bCs w:val="1"/>
          <w:rtl w:val="0"/>
        </w:rPr>
        <w:t xml:space="preserve">Composition d’un repas moyen </w:t>
      </w:r>
      <w:r w:rsidDel="00000000" w:rsidR="00000000" w:rsidRPr="00000000">
        <w:rPr>
          <w:rFonts w:ascii="Helvetica Neue" w:cs="Helvetica Neue" w:eastAsia="Helvetica Neue" w:hAnsi="Helvetica Neue"/>
          <w:rtl w:val="0"/>
        </w:rPr>
        <w:t xml:space="preserve">: somme des mets consommés / somme des convives du jour</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 w:line="240" w:lineRule="auto"/>
        <w:ind w:left="146" w:right="137"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Commerce équitable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un commerce conçu pour assurer une juste rémunération à des producteurs des pays pauvres afin qu'ils puissent développer leur activité à long terme et améliorer leur niveau de vie. Il contribue au développement durable. Relation initialement Nord/ Sud.</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146" w:right="0"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Fait maison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offre cuisinée, transformée à partir de 100% de produits bruts et crus.</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 w:line="276" w:lineRule="auto"/>
        <w:ind w:left="14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Flexitarien :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Dans son édition de 2018, le </w:t>
      </w:r>
      <w:r w:rsidDel="00000000" w:rsidR="00000000" w:rsidRPr="00000000">
        <w:rPr>
          <w:rFonts w:ascii="Helvetica Neue" w:cs="Helvetica Neue" w:eastAsia="Helvetica Neue" w:hAnsi="Helvetica Neue"/>
          <w:i w:val="0"/>
          <w:iCs w:val="0"/>
          <w:smallCaps w:val="0"/>
          <w:strike w:val="0"/>
          <w:color w:val="000000"/>
          <w:u w:val="single"/>
          <w:shd w:fill="auto" w:val="clear"/>
          <w:vertAlign w:val="baseline"/>
          <w:rtl w:val="0"/>
        </w:rPr>
        <w:t xml:space="preserve">dictionnaire Robert</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a intégré le mot « flexitarien », donnant cette définition : « adj. et n. (anglais </w:t>
      </w:r>
      <w:r w:rsidDel="00000000" w:rsidR="00000000" w:rsidRPr="00000000">
        <w:rPr>
          <w:rFonts w:ascii="Helvetica Neue" w:cs="Helvetica Neue" w:eastAsia="Helvetica Neue" w:hAnsi="Helvetica Neue"/>
          <w:i w:val="1"/>
          <w:iCs w:val="1"/>
          <w:smallCaps w:val="0"/>
          <w:strike w:val="0"/>
          <w:color w:val="000000"/>
          <w:u w:val="none"/>
          <w:shd w:fill="auto" w:val="clear"/>
          <w:vertAlign w:val="baseline"/>
          <w:rtl w:val="0"/>
        </w:rPr>
        <w:t xml:space="preserve">flexitarian</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mot-valise,</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3" w:lineRule="auto"/>
        <w:ind w:left="14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de </w:t>
      </w:r>
      <w:r w:rsidDel="00000000" w:rsidR="00000000" w:rsidRPr="00000000">
        <w:rPr>
          <w:rFonts w:ascii="Helvetica Neue" w:cs="Helvetica Neue" w:eastAsia="Helvetica Neue" w:hAnsi="Helvetica Neue"/>
          <w:i w:val="1"/>
          <w:iCs w:val="1"/>
          <w:smallCaps w:val="0"/>
          <w:strike w:val="0"/>
          <w:color w:val="000000"/>
          <w:u w:val="none"/>
          <w:shd w:fill="auto" w:val="clear"/>
          <w:vertAlign w:val="baseline"/>
          <w:rtl w:val="0"/>
        </w:rPr>
        <w:t xml:space="preserve">flexible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et </w:t>
      </w:r>
      <w:r w:rsidDel="00000000" w:rsidR="00000000" w:rsidRPr="00000000">
        <w:rPr>
          <w:rFonts w:ascii="Helvetica Neue" w:cs="Helvetica Neue" w:eastAsia="Helvetica Neue" w:hAnsi="Helvetica Neue"/>
          <w:i w:val="1"/>
          <w:iCs w:val="1"/>
          <w:smallCaps w:val="0"/>
          <w:strike w:val="0"/>
          <w:color w:val="000000"/>
          <w:u w:val="none"/>
          <w:shd w:fill="auto" w:val="clear"/>
          <w:vertAlign w:val="baseline"/>
          <w:rtl w:val="0"/>
        </w:rPr>
        <w:t xml:space="preserve">vegetarian</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Qui limite sa consommation de viande, sans être exclusivement végétarien. »</w:t>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 w:line="240" w:lineRule="auto"/>
        <w:ind w:left="146" w:right="134"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Largeur de gamme :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Choix alimentaire proposé aux convives de façon journalière. Dans le cadre du développement durable, la question de la maîtrise de cette largeur de gamme se pose. En effet, la diversité de l’offre (entraînant une diversification des achats) rend plus difficile le respect de la saisonnalité, l’approvisionnement direct, l’utilisation de produits bruts, l’offre « fait maison ». </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 w:line="240" w:lineRule="auto"/>
        <w:ind w:left="146" w:right="134"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b w:val="1"/>
          <w:bCs w:val="1"/>
          <w:rtl w:val="0"/>
        </w:rPr>
        <w:t xml:space="preserve">Loi EGALim </w:t>
      </w:r>
      <w:r w:rsidDel="00000000" w:rsidR="00000000" w:rsidRPr="00000000">
        <w:rPr>
          <w:rFonts w:ascii="Helvetica Neue" w:cs="Helvetica Neue" w:eastAsia="Helvetica Neue" w:hAnsi="Helvetica Neue"/>
          <w:rtl w:val="0"/>
        </w:rPr>
        <w:t xml:space="preserve">: La loi Egalim, loi n° 2018-938 du 30 octobre 2018 pour l'équilibre des relations commerciales dans le secteur agricole et alimentaire et une alimentation saine, durable et accessible à tous précise, entre autres, les mesures en faveur d’une alimentation saine, de qualité, durable, accessible à tous et respectueuse du bien-être animal.</w:t>
      </w:r>
    </w:p>
    <w:p w:rsidR="00000000" w:rsidDel="00000000" w:rsidP="00000000" w:rsidRDefault="00000000" w:rsidRPr="00000000" w14:paraId="00000012">
      <w:pPr>
        <w:spacing w:before="191" w:line="285" w:lineRule="auto"/>
        <w:ind w:left="146"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Cette loi dite « Loi EGALIM » prévoit un ensemble de mesures concernant la restauration collective publique et privée.</w:t>
      </w:r>
    </w:p>
    <w:p w:rsidR="00000000" w:rsidDel="00000000" w:rsidP="00000000" w:rsidRDefault="00000000" w:rsidRPr="00000000" w14:paraId="00000013">
      <w:pPr>
        <w:spacing w:before="0" w:line="240" w:lineRule="auto"/>
        <w:ind w:left="187"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Accès au texte intégral : </w:t>
      </w:r>
      <w:hyperlink r:id="rId9">
        <w:r w:rsidDel="00000000" w:rsidR="00000000" w:rsidRPr="00000000">
          <w:rPr>
            <w:rFonts w:ascii="Helvetica Neue" w:cs="Helvetica Neue" w:eastAsia="Helvetica Neue" w:hAnsi="Helvetica Neue"/>
            <w:color w:val="0000ff"/>
            <w:u w:val="single"/>
            <w:rtl w:val="0"/>
          </w:rPr>
          <w:t xml:space="preserve">https://www.legifrance.gouv.fr/affichTexte.do;jsessionid=702D1C4C41DBFB79B23245B3C2C59A06.tp</w:t>
        </w:r>
      </w:hyperlink>
      <w:r w:rsidDel="00000000" w:rsidR="00000000" w:rsidRPr="00000000">
        <w:rPr>
          <w:rFonts w:ascii="Helvetica Neue" w:cs="Helvetica Neue" w:eastAsia="Helvetica Neue" w:hAnsi="Helvetica Neue"/>
          <w:color w:val="0000ff"/>
          <w:rtl w:val="0"/>
        </w:rPr>
        <w:t xml:space="preserve"> </w:t>
      </w:r>
      <w:hyperlink r:id="rId10">
        <w:r w:rsidDel="00000000" w:rsidR="00000000" w:rsidRPr="00000000">
          <w:rPr>
            <w:rFonts w:ascii="Helvetica Neue" w:cs="Helvetica Neue" w:eastAsia="Helvetica Neue" w:hAnsi="Helvetica Neue"/>
            <w:color w:val="0000ff"/>
            <w:u w:val="single"/>
            <w:rtl w:val="0"/>
          </w:rPr>
          <w:t xml:space="preserve">lgfr31s_2?cidTexte=JORFTEXT000037547946&amp;dateTexte=&amp;oldAction=rechJO&amp;categorieLien=id&amp;idJO</w:t>
        </w:r>
      </w:hyperlink>
      <w:r w:rsidDel="00000000" w:rsidR="00000000" w:rsidRPr="00000000">
        <w:rPr>
          <w:rtl w:val="0"/>
        </w:rPr>
      </w:r>
    </w:p>
    <w:p w:rsidR="00000000" w:rsidDel="00000000" w:rsidP="00000000" w:rsidRDefault="00000000" w:rsidRPr="00000000" w14:paraId="00000014">
      <w:pPr>
        <w:spacing w:before="0" w:line="267" w:lineRule="auto"/>
        <w:ind w:left="187" w:right="0" w:firstLine="0"/>
        <w:jc w:val="left"/>
        <w:rPr>
          <w:rFonts w:ascii="Helvetica Neue" w:cs="Helvetica Neue" w:eastAsia="Helvetica Neue" w:hAnsi="Helvetica Neue"/>
        </w:rPr>
      </w:pPr>
      <w:hyperlink r:id="rId11">
        <w:r w:rsidDel="00000000" w:rsidR="00000000" w:rsidRPr="00000000">
          <w:rPr>
            <w:rFonts w:ascii="Helvetica Neue" w:cs="Helvetica Neue" w:eastAsia="Helvetica Neue" w:hAnsi="Helvetica Neue"/>
            <w:color w:val="0000ff"/>
            <w:u w:val="single"/>
            <w:rtl w:val="0"/>
          </w:rPr>
          <w:t xml:space="preserve">=JORFCONT000037547943#JORFARTI000037547983</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 w:line="240" w:lineRule="auto"/>
        <w:ind w:left="14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ESAT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Un établissement et un service d’aide par le travail</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0" w:lineRule="auto"/>
        <w:ind w:left="0"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7">
      <w:pPr>
        <w:pStyle w:val="Heading2"/>
        <w:ind w:firstLine="146"/>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Nature du produit :</w:t>
      </w:r>
    </w:p>
    <w:p w:rsidR="00000000" w:rsidDel="00000000" w:rsidP="00000000" w:rsidRDefault="00000000" w:rsidRPr="00000000" w14:paraId="0000001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237" w:line="240" w:lineRule="auto"/>
        <w:ind w:left="866" w:right="136"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1ère gamme / Frais</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un produit transformé (entrée ou dessert) est considéré comme étant frais si la majorité des composants de la recette est fraîche. Aucun traitement de conservation particulier n'est utilisé (fruits et légumes entiers frais, viandes et poissons non transformés…).</w:t>
      </w:r>
    </w:p>
    <w:p w:rsidR="00000000" w:rsidDel="00000000" w:rsidP="00000000" w:rsidRDefault="00000000" w:rsidRPr="00000000" w14:paraId="000000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243" w:line="244" w:lineRule="auto"/>
        <w:ind w:left="866" w:right="130"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2ème gamme / Produits appertisés / Conserve</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produit conservé par stérilisation à la chaleur, dans des récipients hermétiquement clos (bocaux, boîte de conserve…).</w:t>
      </w:r>
    </w:p>
    <w:p w:rsidR="00000000" w:rsidDel="00000000" w:rsidP="00000000" w:rsidRDefault="00000000" w:rsidRPr="00000000" w14:paraId="0000001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227" w:line="240" w:lineRule="auto"/>
        <w:ind w:left="866" w:right="0" w:hanging="363"/>
        <w:jc w:val="left"/>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3ème gamme / Surgelés</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produit conservé à des températures entre -18°C et -4°C.</w:t>
      </w:r>
    </w:p>
    <w:p w:rsidR="00000000" w:rsidDel="00000000" w:rsidP="00000000" w:rsidRDefault="00000000" w:rsidRPr="00000000" w14:paraId="0000001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242" w:line="240" w:lineRule="auto"/>
        <w:ind w:left="866" w:right="131"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4ème gamme</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les fruits et légumes frais prêts à l'emploi (lavés, épluchés, égouttés, coupés et conservés dans une atmosphère sans air) ; la conservation est assurée entre 0 et 4°C.</w:t>
      </w:r>
    </w:p>
    <w:p w:rsidR="00000000" w:rsidDel="00000000" w:rsidP="00000000" w:rsidRDefault="00000000" w:rsidRPr="00000000" w14:paraId="0000001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236" w:line="242" w:lineRule="auto"/>
        <w:ind w:left="866" w:right="133"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5ème gamme</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plats protidiques cuisinés préparés à l'avance, puis conditionnés sous vide ; dans tous les cas, la conservation se fait au réfrigérateur (température de 0°C à 4°C).</w:t>
      </w:r>
    </w:p>
    <w:p w:rsidR="00000000" w:rsidDel="00000000" w:rsidP="00000000" w:rsidRDefault="00000000" w:rsidRPr="00000000" w14:paraId="000000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233" w:line="242" w:lineRule="auto"/>
        <w:ind w:left="866" w:right="133"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6ème gamme</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produits déshydratés (en poudre ou ionisé), conservable à température ambiante.</w:t>
      </w:r>
    </w:p>
    <w:p w:rsidR="00000000" w:rsidDel="00000000" w:rsidP="00000000" w:rsidRDefault="00000000" w:rsidRPr="00000000" w14:paraId="0000001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231" w:line="240" w:lineRule="auto"/>
        <w:ind w:left="866" w:right="133"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Assemblage</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prestation alimentaire faisant appel à des produits majoritairement issus de l’industrie agroalimentaire, assemblés selon la recette à exécuter, sans effectuer de traitement en cuisine. La majorité des mets utilisés (plus de 50%) ne sont pas frais. </w:t>
      </w:r>
    </w:p>
    <w:p w:rsidR="00000000" w:rsidDel="00000000" w:rsidP="00000000" w:rsidRDefault="00000000" w:rsidRPr="00000000" w14:paraId="0000001F">
      <w:pPr>
        <w:spacing w:before="179" w:lineRule="auto"/>
        <w:ind w:left="146"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b w:val="1"/>
          <w:bCs w:val="1"/>
          <w:rtl w:val="0"/>
        </w:rPr>
        <w:t xml:space="preserve">Gaspillage alimentaire </w:t>
      </w:r>
      <w:r w:rsidDel="00000000" w:rsidR="00000000" w:rsidRPr="00000000">
        <w:rPr>
          <w:rFonts w:ascii="Helvetica Neue" w:cs="Helvetica Neue" w:eastAsia="Helvetica Neue" w:hAnsi="Helvetica Neue"/>
          <w:rtl w:val="0"/>
        </w:rPr>
        <w:t xml:space="preserve">: fait de jeter des aliments comestibles.</w:t>
      </w:r>
    </w:p>
    <w:p w:rsidR="00000000" w:rsidDel="00000000" w:rsidP="00000000" w:rsidRDefault="00000000" w:rsidRPr="00000000" w14:paraId="00000020">
      <w:pPr>
        <w:spacing w:before="283" w:lineRule="auto"/>
        <w:ind w:left="146"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b w:val="1"/>
          <w:bCs w:val="1"/>
          <w:rtl w:val="0"/>
        </w:rPr>
        <w:t xml:space="preserve">Offre standard </w:t>
      </w:r>
      <w:r w:rsidDel="00000000" w:rsidR="00000000" w:rsidRPr="00000000">
        <w:rPr>
          <w:rFonts w:ascii="Helvetica Neue" w:cs="Helvetica Neue" w:eastAsia="Helvetica Neue" w:hAnsi="Helvetica Neue"/>
          <w:rtl w:val="0"/>
        </w:rPr>
        <w:t xml:space="preserve">: mets non labellisés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 w:line="276" w:lineRule="auto"/>
        <w:ind w:left="146" w:right="152"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Pêche Durable :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sont définis dans la loi Egalim comme pêche durable les produits bénéficiant de l’écolabel pêche durable : </w:t>
      </w:r>
      <w:r w:rsidDel="00000000" w:rsidR="00000000" w:rsidRPr="00000000">
        <w:rPr>
          <w:rFonts w:ascii="Helvetica Neue" w:cs="Helvetica Neue" w:eastAsia="Helvetica Neue" w:hAnsi="Helvetica Neue"/>
          <w:i w:val="0"/>
          <w:iCs w:val="0"/>
          <w:smallCaps w:val="0"/>
          <w:strike w:val="0"/>
          <w:color w:val="000000"/>
          <w:u w:val="single"/>
          <w:shd w:fill="auto" w:val="clear"/>
          <w:vertAlign w:val="baseline"/>
          <w:rtl w:val="0"/>
        </w:rPr>
        <w:t xml:space="preserve">https://</w:t>
      </w:r>
      <w:hyperlink r:id="rId12">
        <w:r w:rsidDel="00000000" w:rsidR="00000000" w:rsidRPr="00000000">
          <w:rPr>
            <w:rFonts w:ascii="Helvetica Neue" w:cs="Helvetica Neue" w:eastAsia="Helvetica Neue" w:hAnsi="Helvetica Neue"/>
            <w:i w:val="0"/>
            <w:iCs w:val="0"/>
            <w:smallCaps w:val="0"/>
            <w:strike w:val="0"/>
            <w:color w:val="000000"/>
            <w:u w:val="single"/>
            <w:shd w:fill="auto" w:val="clear"/>
            <w:vertAlign w:val="baseline"/>
            <w:rtl w:val="0"/>
          </w:rPr>
          <w:t xml:space="preserve">www.franceagrimer.fr/filiere-peche-et-</w:t>
        </w:r>
      </w:hyperlink>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single"/>
          <w:shd w:fill="auto" w:val="clear"/>
          <w:vertAlign w:val="baseline"/>
          <w:rtl w:val="0"/>
        </w:rPr>
        <w:t xml:space="preserve">aquaculture/Accompagner/Dispositifs-par-filiere/Normalisation-Qualite/Ecolabel</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14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Pour les produits issus de l’aquaculture (élevage) : produits issus de l’agriculture biologique,</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4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ASC,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 w:line="240" w:lineRule="auto"/>
        <w:ind w:left="14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Périphériques :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aliments accompagnant le plat principal (yaourt, fromage, dessert, hors</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4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d’œuvres).</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 w:line="276" w:lineRule="auto"/>
        <w:ind w:left="146" w:right="139"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Plan de menu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élaboré à partir des indications génériques du Cahier des Charges, il précise pour chaque repas sur une période donnée, la qualité, le prix et l’intitulé des composants du repas.</w:t>
      </w:r>
    </w:p>
    <w:p w:rsidR="00000000" w:rsidDel="00000000" w:rsidP="00000000" w:rsidRDefault="00000000" w:rsidRPr="00000000" w14:paraId="00000027">
      <w:pPr>
        <w:spacing w:before="239" w:lineRule="auto"/>
        <w:ind w:left="146"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b w:val="1"/>
          <w:bCs w:val="1"/>
          <w:rtl w:val="0"/>
        </w:rPr>
        <w:t xml:space="preserve">Plat protidique ou protéiné </w:t>
      </w:r>
      <w:r w:rsidDel="00000000" w:rsidR="00000000" w:rsidRPr="00000000">
        <w:rPr>
          <w:rFonts w:ascii="Helvetica Neue" w:cs="Helvetica Neue" w:eastAsia="Helvetica Neue" w:hAnsi="Helvetica Neue"/>
          <w:rtl w:val="0"/>
        </w:rPr>
        <w:t xml:space="preserve">: plat à base de viande, de poisson, ou d’œuf, source de protéines</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 w:line="240" w:lineRule="auto"/>
        <w:ind w:left="14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et de fer.</w:t>
      </w:r>
    </w:p>
    <w:p w:rsidR="00000000" w:rsidDel="00000000" w:rsidP="00000000" w:rsidRDefault="00000000" w:rsidRPr="00000000" w14:paraId="00000029">
      <w:pPr>
        <w:pStyle w:val="Heading2"/>
        <w:spacing w:before="285" w:lineRule="auto"/>
        <w:ind w:firstLine="146"/>
        <w:jc w:val="both"/>
        <w:rPr>
          <w:rFonts w:ascii="Helvetica Neue" w:cs="Helvetica Neue" w:eastAsia="Helvetica Neue" w:hAnsi="Helvetica Neue"/>
          <w:b w:val="0"/>
          <w:bCs w:val="0"/>
          <w:sz w:val="22"/>
          <w:szCs w:val="22"/>
        </w:rPr>
      </w:pPr>
      <w:r w:rsidDel="00000000" w:rsidR="00000000" w:rsidRPr="00000000">
        <w:rPr>
          <w:rFonts w:ascii="Helvetica Neue" w:cs="Helvetica Neue" w:eastAsia="Helvetica Neue" w:hAnsi="Helvetica Neue"/>
          <w:sz w:val="22"/>
          <w:szCs w:val="22"/>
          <w:rtl w:val="0"/>
        </w:rPr>
        <w:t xml:space="preserve">Plat végétarien </w:t>
      </w:r>
      <w:r w:rsidDel="00000000" w:rsidR="00000000" w:rsidRPr="00000000">
        <w:rPr>
          <w:rFonts w:ascii="Helvetica Neue" w:cs="Helvetica Neue" w:eastAsia="Helvetica Neue" w:hAnsi="Helvetica Neue"/>
          <w:b w:val="0"/>
          <w:bCs w:val="0"/>
          <w:sz w:val="22"/>
          <w:szCs w:val="22"/>
          <w:rtl w:val="0"/>
        </w:rPr>
        <w:t xml:space="preserve">:</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 w:right="136"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Le plat protidique végétarien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est un plat ne contenant ni viande ni poisson, et contenant d’autres sources de protéines : végétales et/ou animales (œuf, produit laitier).  Si ce plat protidique végétarien ne contient pas de protéines animales (œuf, produits laitiers ou fromage), il doit associer, dans des proportions adéquates et suffisantes, plusieurs sources de protéines végétales (céréales et légumes secs) pour bénéficier de leurs apports complémentaires en acides aminés indispensables.</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46" w:right="0"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Les exemples d’association les plus pratiqués sont : haricots rouges et maïs ; boulgour et pois</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 w:right="0"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chiches ; lentilles et riz ; ...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 w:line="240" w:lineRule="auto"/>
        <w:ind w:left="14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Plat végétalien :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plat à base de produits végétaux excluant la viande, le poisson et tous les</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40" w:lineRule="auto"/>
        <w:ind w:left="14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produits d’origine animale (beurre, œuf, produits laitiers…).</w:t>
      </w:r>
    </w:p>
    <w:p w:rsidR="00000000" w:rsidDel="00000000" w:rsidP="00000000" w:rsidRDefault="00000000" w:rsidRPr="00000000" w14:paraId="0000002F">
      <w:pPr>
        <w:spacing w:before="286" w:line="470" w:lineRule="auto"/>
        <w:ind w:left="146" w:right="366" w:firstLine="0"/>
        <w:jc w:val="left"/>
        <w:rPr>
          <w:rFonts w:ascii="Helvetica Neue" w:cs="Helvetica Neue" w:eastAsia="Helvetica Neue" w:hAnsi="Helvetica Neue"/>
          <w:b w:val="1"/>
          <w:bCs w:val="1"/>
        </w:rPr>
      </w:pPr>
      <w:r w:rsidDel="00000000" w:rsidR="00000000" w:rsidRPr="00000000">
        <w:rPr>
          <w:rFonts w:ascii="Helvetica Neue" w:cs="Helvetica Neue" w:eastAsia="Helvetica Neue" w:hAnsi="Helvetica Neue"/>
          <w:b w:val="1"/>
          <w:bCs w:val="1"/>
          <w:rtl w:val="0"/>
        </w:rPr>
        <w:t xml:space="preserve">Plat « végétal » </w:t>
      </w:r>
      <w:r w:rsidDel="00000000" w:rsidR="00000000" w:rsidRPr="00000000">
        <w:rPr>
          <w:rFonts w:ascii="Helvetica Neue" w:cs="Helvetica Neue" w:eastAsia="Helvetica Neue" w:hAnsi="Helvetica Neue"/>
          <w:rtl w:val="0"/>
        </w:rPr>
        <w:t xml:space="preserve">: plat où le légume / le féculent est positionné en ingrédient principal. </w:t>
      </w:r>
      <w:r w:rsidDel="00000000" w:rsidR="00000000" w:rsidRPr="00000000">
        <w:rPr>
          <w:rFonts w:ascii="Helvetica Neue" w:cs="Helvetica Neue" w:eastAsia="Helvetica Neue" w:hAnsi="Helvetica Neue"/>
          <w:b w:val="1"/>
          <w:bCs w:val="1"/>
          <w:rtl w:val="0"/>
        </w:rPr>
        <w:t xml:space="preserve">Produit brut </w:t>
      </w:r>
      <w:r w:rsidDel="00000000" w:rsidR="00000000" w:rsidRPr="00000000">
        <w:rPr>
          <w:rFonts w:ascii="Helvetica Neue" w:cs="Helvetica Neue" w:eastAsia="Helvetica Neue" w:hAnsi="Helvetica Neue"/>
          <w:rtl w:val="0"/>
        </w:rPr>
        <w:t xml:space="preserve">: un produit de 1</w:t>
      </w:r>
      <w:r w:rsidDel="00000000" w:rsidR="00000000" w:rsidRPr="00000000">
        <w:rPr>
          <w:rFonts w:ascii="Helvetica Neue" w:cs="Helvetica Neue" w:eastAsia="Helvetica Neue" w:hAnsi="Helvetica Neue"/>
          <w:vertAlign w:val="superscript"/>
          <w:rtl w:val="0"/>
        </w:rPr>
        <w:t xml:space="preserve">ère</w:t>
      </w:r>
      <w:r w:rsidDel="00000000" w:rsidR="00000000" w:rsidRPr="00000000">
        <w:rPr>
          <w:rFonts w:ascii="Helvetica Neue" w:cs="Helvetica Neue" w:eastAsia="Helvetica Neue" w:hAnsi="Helvetica Neue"/>
          <w:vertAlign w:val="baseline"/>
          <w:rtl w:val="0"/>
        </w:rPr>
        <w:t xml:space="preserve"> gamme / frais (cf. définition « Nature du produit »). </w:t>
      </w:r>
      <w:r w:rsidDel="00000000" w:rsidR="00000000" w:rsidRPr="00000000">
        <w:rPr>
          <w:rFonts w:ascii="Helvetica Neue" w:cs="Helvetica Neue" w:eastAsia="Helvetica Neue" w:hAnsi="Helvetica Neue"/>
          <w:b w:val="1"/>
          <w:bCs w:val="1"/>
          <w:vertAlign w:val="baseline"/>
          <w:rtl w:val="0"/>
        </w:rPr>
        <w:t xml:space="preserve">Produit « durable et de qualité » (issu de la loi EGalim) :</w:t>
      </w:r>
      <w:r w:rsidDel="00000000" w:rsidR="00000000" w:rsidRPr="00000000">
        <w:rPr>
          <w:rtl w:val="0"/>
        </w:rPr>
      </w:r>
    </w:p>
    <w:p w:rsidR="00000000" w:rsidDel="00000000" w:rsidP="00000000" w:rsidRDefault="00000000" w:rsidRPr="00000000" w14:paraId="00000030">
      <w:pPr>
        <w:pStyle w:val="Heading2"/>
        <w:spacing w:line="267" w:lineRule="auto"/>
        <w:ind w:firstLine="146"/>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Les produits suivant, dits « durables » entrent dans le décompte de la loi EGALIM : </w:t>
      </w:r>
    </w:p>
    <w:p w:rsidR="00000000" w:rsidDel="00000000" w:rsidP="00000000" w:rsidRDefault="00000000" w:rsidRPr="00000000" w14:paraId="00000031">
      <w:pPr>
        <w:pStyle w:val="Heading2"/>
        <w:spacing w:line="267" w:lineRule="auto"/>
        <w:ind w:firstLine="146"/>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Les produits acquis selon des modalités prenant en compte les coûts imputés aux externalités environnementales liées au produit pendant son cycle de vie.</w:t>
      </w:r>
    </w:p>
    <w:p w:rsidR="00000000" w:rsidDel="00000000" w:rsidP="00000000" w:rsidRDefault="00000000" w:rsidRPr="00000000" w14:paraId="000000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2" w:line="285" w:lineRule="auto"/>
        <w:ind w:left="866" w:right="669" w:hanging="360"/>
        <w:jc w:val="left"/>
        <w:rPr>
          <w:rFonts w:ascii="Helvetica Neue" w:cs="Helvetica Neue" w:eastAsia="Helvetica Neue" w:hAnsi="Helvetica Neue"/>
          <w:i w:val="0"/>
          <w:iCs w:val="0"/>
          <w:smallCaps w:val="0"/>
          <w:strike w:val="0"/>
          <w:color w:val="000000"/>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Les produits issus de l'agriculture biologique (à hauteur de 20 % minimum). les produits végétaux étiquetés « en conversion » entrent également dans le décompte</w:t>
      </w:r>
    </w:p>
    <w:p w:rsidR="00000000" w:rsidDel="00000000" w:rsidP="00000000" w:rsidRDefault="00000000" w:rsidRPr="00000000" w14:paraId="0000003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5" w:line="240" w:lineRule="auto"/>
        <w:ind w:left="866" w:right="0" w:hanging="363"/>
        <w:jc w:val="left"/>
        <w:rPr>
          <w:rFonts w:ascii="Helvetica Neue" w:cs="Helvetica Neue" w:eastAsia="Helvetica Neue" w:hAnsi="Helvetica Neue"/>
          <w:i w:val="0"/>
          <w:iCs w:val="0"/>
          <w:smallCaps w:val="0"/>
          <w:strike w:val="0"/>
          <w:color w:val="000000"/>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Les produits bénéficiant :</w:t>
      </w:r>
    </w:p>
    <w:p w:rsidR="00000000" w:rsidDel="00000000" w:rsidP="00000000" w:rsidRDefault="00000000" w:rsidRPr="00000000" w14:paraId="0000003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585"/>
        </w:tabs>
        <w:spacing w:after="0" w:before="53" w:line="240" w:lineRule="auto"/>
        <w:ind w:left="1585" w:right="0" w:hanging="362"/>
        <w:jc w:val="left"/>
        <w:rPr>
          <w:rFonts w:ascii="Helvetica Neue" w:cs="Helvetica Neue" w:eastAsia="Helvetica Neue" w:hAnsi="Helvetica Neue"/>
          <w:i w:val="0"/>
          <w:iCs w:val="0"/>
          <w:smallCaps w:val="0"/>
          <w:strike w:val="0"/>
          <w:color w:val="000000"/>
          <w:sz w:val="22"/>
          <w:szCs w:val="22"/>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des signes officiels d’identification de la qualité et de l’origine (SIQO):</w:t>
      </w:r>
    </w:p>
    <w:p w:rsidR="00000000" w:rsidDel="00000000" w:rsidP="00000000" w:rsidRDefault="00000000" w:rsidRPr="00000000" w14:paraId="0000003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2306"/>
        </w:tabs>
        <w:spacing w:after="0" w:before="42" w:line="240" w:lineRule="auto"/>
        <w:ind w:left="2306" w:right="0" w:hanging="362.99999999999983"/>
        <w:jc w:val="left"/>
        <w:rPr>
          <w:rFonts w:ascii="Helvetica Neue" w:cs="Helvetica Neue" w:eastAsia="Helvetica Neue" w:hAnsi="Helvetica Neue"/>
          <w:i w:val="0"/>
          <w:iCs w:val="0"/>
          <w:smallCaps w:val="0"/>
          <w:strike w:val="0"/>
          <w:color w:val="000000"/>
          <w:sz w:val="22"/>
          <w:szCs w:val="22"/>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le label rouge, attestant la qualité supérieure ;</w:t>
      </w:r>
    </w:p>
    <w:p w:rsidR="00000000" w:rsidDel="00000000" w:rsidP="00000000" w:rsidRDefault="00000000" w:rsidRPr="00000000" w14:paraId="0000003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2306"/>
        </w:tabs>
        <w:spacing w:after="0" w:before="51" w:line="290" w:lineRule="auto"/>
        <w:ind w:left="2306" w:right="282" w:hanging="360.99999999999994"/>
        <w:jc w:val="left"/>
        <w:rPr>
          <w:rFonts w:ascii="Helvetica Neue" w:cs="Helvetica Neue" w:eastAsia="Helvetica Neue" w:hAnsi="Helvetica Neue"/>
          <w:i w:val="0"/>
          <w:iCs w:val="0"/>
          <w:smallCaps w:val="0"/>
          <w:strike w:val="0"/>
          <w:color w:val="000000"/>
          <w:sz w:val="22"/>
          <w:szCs w:val="22"/>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l'appellation d'origine (AOC, AOP), l'indication géographique (IGP) et la spécialité traditionnelle garantie (STG), attestant la qualité liée à l'origine ou à la tradition ;</w:t>
      </w:r>
    </w:p>
    <w:p w:rsidR="00000000" w:rsidDel="00000000" w:rsidP="00000000" w:rsidRDefault="00000000" w:rsidRPr="00000000" w14:paraId="0000003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585"/>
        </w:tabs>
        <w:spacing w:after="0" w:before="3" w:line="240" w:lineRule="auto"/>
        <w:ind w:left="1585" w:right="0" w:hanging="362"/>
        <w:jc w:val="left"/>
        <w:rPr>
          <w:rFonts w:ascii="Helvetica Neue" w:cs="Helvetica Neue" w:eastAsia="Helvetica Neue" w:hAnsi="Helvetica Neue"/>
          <w:i w:val="0"/>
          <w:iCs w:val="0"/>
          <w:smallCaps w:val="0"/>
          <w:strike w:val="0"/>
          <w:color w:val="000000"/>
          <w:sz w:val="22"/>
          <w:szCs w:val="22"/>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des mentions valorisantes :</w:t>
      </w:r>
    </w:p>
    <w:p w:rsidR="00000000" w:rsidDel="00000000" w:rsidP="00000000" w:rsidRDefault="00000000" w:rsidRPr="00000000" w14:paraId="0000003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2305"/>
        </w:tabs>
        <w:spacing w:after="0" w:before="234" w:line="240" w:lineRule="auto"/>
        <w:ind w:left="2305" w:right="0" w:hanging="361.9999999999999"/>
        <w:jc w:val="both"/>
        <w:rPr>
          <w:rFonts w:ascii="Helvetica Neue" w:cs="Helvetica Neue" w:eastAsia="Helvetica Neue" w:hAnsi="Helvetica Neue"/>
          <w:i w:val="0"/>
          <w:iCs w:val="0"/>
          <w:smallCaps w:val="0"/>
          <w:strike w:val="0"/>
          <w:color w:val="000000"/>
          <w:sz w:val="22"/>
          <w:szCs w:val="22"/>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issu d’une exploitation à Haute Valeur Environnementale » (HVE)</w:t>
      </w:r>
    </w:p>
    <w:p w:rsidR="00000000" w:rsidDel="00000000" w:rsidP="00000000" w:rsidRDefault="00000000" w:rsidRPr="00000000" w14:paraId="0000003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2306"/>
        </w:tabs>
        <w:spacing w:after="0" w:before="13" w:line="252.00000000000003" w:lineRule="auto"/>
        <w:ind w:left="2306" w:right="130" w:hanging="360.99999999999994"/>
        <w:jc w:val="both"/>
        <w:rPr>
          <w:rFonts w:ascii="Helvetica Neue" w:cs="Helvetica Neue" w:eastAsia="Helvetica Neue" w:hAnsi="Helvetica Neue"/>
          <w:i w:val="0"/>
          <w:iCs w:val="0"/>
          <w:smallCaps w:val="0"/>
          <w:strike w:val="0"/>
          <w:color w:val="000000"/>
          <w:sz w:val="22"/>
          <w:szCs w:val="22"/>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la mention « fermier » ou « produit de la ferme » ou « produit à la ferme », uniquement pour les produits pour lesquels existe une définition réglementaire des conditions de production*</w:t>
      </w:r>
    </w:p>
    <w:p w:rsidR="00000000" w:rsidDel="00000000" w:rsidP="00000000" w:rsidRDefault="00000000" w:rsidRPr="00000000" w14:paraId="0000003A">
      <w:pPr>
        <w:spacing w:before="0" w:line="252.00000000000003" w:lineRule="auto"/>
        <w:ind w:left="866" w:right="134" w:firstLine="0"/>
        <w:jc w:val="both"/>
        <w:rPr>
          <w:rFonts w:ascii="Helvetica Neue" w:cs="Helvetica Neue" w:eastAsia="Helvetica Neue" w:hAnsi="Helvetica Neue"/>
          <w:i w:val="1"/>
          <w:iCs w:val="1"/>
        </w:rPr>
      </w:pPr>
      <w:r w:rsidDel="00000000" w:rsidR="00000000" w:rsidRPr="00000000">
        <w:rPr>
          <w:rFonts w:ascii="Helvetica Neue" w:cs="Helvetica Neue" w:eastAsia="Helvetica Neue" w:hAnsi="Helvetica Neue"/>
          <w:i w:val="1"/>
          <w:iCs w:val="1"/>
          <w:rtl w:val="0"/>
        </w:rPr>
        <w:t xml:space="preserve">* À ce jour, en France, cela concerne les œufs fermiers, les fromages fermiers (y compris les fromages blancs), les volailles de chair fermières (celles-ci doivent bénéficier des SIQO AOC/AOP, AB ou Label Rouge, sauf s’il s’agit d’une production à petite échelle destinée à la ventre directe ou locale), ainsi que la viande de gros bovins de boucherie et la viande de porc fermières (celles-ci doivent bénéficier du SIQO Label Rouge).</w:t>
      </w:r>
    </w:p>
    <w:p w:rsidR="00000000" w:rsidDel="00000000" w:rsidP="00000000" w:rsidRDefault="00000000" w:rsidRPr="00000000" w14:paraId="0000003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0" w:line="267" w:lineRule="auto"/>
        <w:ind w:left="866" w:right="0" w:hanging="363"/>
        <w:jc w:val="left"/>
        <w:rPr>
          <w:rFonts w:ascii="Helvetica Neue" w:cs="Helvetica Neue" w:eastAsia="Helvetica Neue" w:hAnsi="Helvetica Neue"/>
          <w:i w:val="0"/>
          <w:iCs w:val="0"/>
          <w:smallCaps w:val="0"/>
          <w:strike w:val="0"/>
          <w:color w:val="000000"/>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Les produits de la pêche bénéficiant de l'écolabel</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40" w:lineRule="auto"/>
        <w:ind w:left="0"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6" w:right="131"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Produits éco-labellisés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l'écolabel est la labellisation officielle de produits présentant des avantages écologiques (Marque NF Environnement ou Éco-label européen), comme c'est le cas pour certaines peintures, colles, filtres à café, sacs poubelles, produits d’entretien...</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 w:line="240" w:lineRule="auto"/>
        <w:ind w:left="146" w:right="129"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Produit d’assemblage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prestation alimentaire faisant appel à des produits majoritairement issue de l’industrie agroalimentaire, assemblés selon la recette à exécuter, sans effectuer de traitement en cuisine.</w:t>
      </w:r>
    </w:p>
    <w:p w:rsidR="00000000" w:rsidDel="00000000" w:rsidP="00000000" w:rsidRDefault="00000000" w:rsidRPr="00000000" w14:paraId="00000040">
      <w:pPr>
        <w:spacing w:before="239" w:line="276" w:lineRule="auto"/>
        <w:ind w:left="146" w:right="136"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b w:val="1"/>
          <w:bCs w:val="1"/>
          <w:rtl w:val="0"/>
        </w:rPr>
        <w:t xml:space="preserve">Renouvellement de l’offre </w:t>
      </w:r>
      <w:r w:rsidDel="00000000" w:rsidR="00000000" w:rsidRPr="00000000">
        <w:rPr>
          <w:rFonts w:ascii="Helvetica Neue" w:cs="Helvetica Neue" w:eastAsia="Helvetica Neue" w:hAnsi="Helvetica Neue"/>
          <w:rtl w:val="0"/>
        </w:rPr>
        <w:t xml:space="preserve">: changement de l’offre proposée aux convives d’un jour sur l’autre.</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 w:line="276" w:lineRule="auto"/>
        <w:ind w:left="146" w:right="135"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Restauration responsable et durable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La restauration responsable et durable pourrait se définir comme une restauration intégrant de façon pleine et entière les enjeux du développement durable. Ce type de restauration se questionne donc sur ses impacts économiques, sociaux et environnementaux essayant au maximum de minimiser ses impacts négatifs et de maximiser ses impacts positifs. Quelques exemples d’actions en lien avec les enjeux du développement durable : </w:t>
      </w:r>
    </w:p>
    <w:p w:rsidR="00000000" w:rsidDel="00000000" w:rsidP="00000000" w:rsidRDefault="00000000" w:rsidRPr="00000000" w14:paraId="0000004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176" w:line="276" w:lineRule="auto"/>
        <w:ind w:left="866" w:right="132"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Environnementaux :</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baisse de la consommation d’eau (préservation des ressources) et d’énergie (gaz, électricité), un approvisionnement responsable (des produits de qualité - bio, autres signes officiels de qualité et labels-, d’approvisionnement direct, équitables et de saison), limitation maximum du gaspillage alimentaire, valorisation des déchets ;</w:t>
      </w:r>
    </w:p>
    <w:p w:rsidR="00000000" w:rsidDel="00000000" w:rsidP="00000000" w:rsidRDefault="00000000" w:rsidRPr="00000000" w14:paraId="0000004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2" w:line="276" w:lineRule="auto"/>
        <w:ind w:left="866" w:right="130"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Sociaux :</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qualité nutritionnelle des repas, santé des convives, bien-être des salariés, sécurité alimentaire, meilleure qualité de vie au travail, partenariat avec des entreprises d’insertion, formation des équipes de restauration, des salariés (apprentissage des bonnes pratiques de consommation, de fabrication des repas et d’approvisionnement)</w:t>
      </w:r>
    </w:p>
    <w:p w:rsidR="00000000" w:rsidDel="00000000" w:rsidP="00000000" w:rsidRDefault="00000000" w:rsidRPr="00000000" w14:paraId="0000004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2" w:line="273" w:lineRule="auto"/>
        <w:ind w:left="866" w:right="134"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u w:val="single"/>
          <w:rtl w:val="0"/>
        </w:rPr>
        <w:t xml:space="preserve">Économiques</w:t>
      </w: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 :</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prix équitable pour l’ensemble des acteurs, relation « saine » entre les donneurs d’ordre et leurs fournisseurs ou sous-traitants, …</w:t>
      </w:r>
    </w:p>
    <w:p w:rsidR="00000000" w:rsidDel="00000000" w:rsidP="00000000" w:rsidRDefault="00000000" w:rsidRPr="00000000" w14:paraId="0000004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10" w:line="271" w:lineRule="auto"/>
        <w:ind w:left="866" w:right="138" w:hanging="360"/>
        <w:jc w:val="both"/>
        <w:rPr>
          <w:rFonts w:ascii="Helvetica Neue" w:cs="Helvetica Neue" w:eastAsia="Helvetica Neue" w:hAnsi="Helvetica Neue"/>
          <w:i w:val="0"/>
          <w:iCs w:val="0"/>
          <w:smallCaps w:val="0"/>
          <w:strike w:val="0"/>
          <w:color w:val="000000"/>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Politique : Un ancrage territorial fort qui s’appuie sur des démarches participatives, la mise en place d’une nouvelle gouvernance avec l’ensemble des parties prenantes</w:t>
      </w:r>
    </w:p>
    <w:p w:rsidR="00000000" w:rsidDel="00000000" w:rsidP="00000000" w:rsidRDefault="00000000" w:rsidRPr="00000000" w14:paraId="00000046">
      <w:pPr>
        <w:pStyle w:val="Heading2"/>
        <w:spacing w:before="204" w:lineRule="auto"/>
        <w:ind w:firstLine="146"/>
        <w:rPr>
          <w:rFonts w:ascii="Helvetica Neue" w:cs="Helvetica Neue" w:eastAsia="Helvetica Neue" w:hAnsi="Helvetica Neue"/>
          <w:b w:val="0"/>
          <w:bCs w:val="0"/>
          <w:sz w:val="22"/>
          <w:szCs w:val="22"/>
        </w:rPr>
      </w:pPr>
      <w:r w:rsidDel="00000000" w:rsidR="00000000" w:rsidRPr="00000000">
        <w:rPr>
          <w:rFonts w:ascii="Helvetica Neue" w:cs="Helvetica Neue" w:eastAsia="Helvetica Neue" w:hAnsi="Helvetica Neue"/>
          <w:sz w:val="22"/>
          <w:szCs w:val="22"/>
          <w:rtl w:val="0"/>
        </w:rPr>
        <w:t xml:space="preserve">SIQO / Signes d’identification de la qualité et de l’origine (labels officiels) </w:t>
      </w:r>
      <w:r w:rsidDel="00000000" w:rsidR="00000000" w:rsidRPr="00000000">
        <w:rPr>
          <w:rFonts w:ascii="Helvetica Neue" w:cs="Helvetica Neue" w:eastAsia="Helvetica Neue" w:hAnsi="Helvetica Neue"/>
          <w:b w:val="0"/>
          <w:bCs w:val="0"/>
          <w:sz w:val="22"/>
          <w:szCs w:val="22"/>
          <w:rtl w:val="0"/>
        </w:rPr>
        <w:t xml:space="preserve">au nombre de</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 w:line="240" w:lineRule="auto"/>
        <w:ind w:left="14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cinq, ce sont des signes d’identification de la qualité et de l’origine garantis par l’Etat.</w:t>
      </w:r>
    </w:p>
    <w:p w:rsidR="00000000" w:rsidDel="00000000" w:rsidP="00000000" w:rsidRDefault="00000000" w:rsidRPr="00000000" w14:paraId="0000004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247" w:line="240" w:lineRule="auto"/>
        <w:ind w:left="866" w:right="132"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AOC</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L’appellation d’Origine Contrôlée est un signe français qui désigne un produit qui tire son authenticité et sa typicité de son origine géographique. Elle est l’expression d’un lien intime entre le produit et son terroir. </w:t>
      </w: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AOP</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L’appellation d’origine protégée est l’équivalent européen de l’AOC. Elle protège le nom d’un produit dans tous les pays de l’Union Européenne. Ainsi, le Saint-Nectaire ne peut être fabriqué selon des critères bien définis que dans une partie de l’Auvergne à partir de lait issu de la zone.</w:t>
      </w:r>
    </w:p>
    <w:p w:rsidR="00000000" w:rsidDel="00000000" w:rsidP="00000000" w:rsidRDefault="00000000" w:rsidRPr="00000000" w14:paraId="0000004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12"/>
          <w:tab w:val="left" w:leader="none" w:pos="866"/>
        </w:tabs>
        <w:spacing w:after="0" w:before="3" w:line="276" w:lineRule="auto"/>
        <w:ind w:left="866" w:right="133"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 IGP</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L’indication géographique protégée désigne un produit dont les caractéristiques sont liées au lieu géographique dans lequel se déroule au moins sa production ou sa transformation selon des conditions bien déterminées. C’est un signe européen qui protège le nom du produit dans toute l’Union Européenne. Exemples : Riz de Camargue, pruneau d’Agen, Jambon de Bayonne, Côtes de Gascogne, cidre de Bretagne...</w:t>
      </w:r>
    </w:p>
    <w:p w:rsidR="00000000" w:rsidDel="00000000" w:rsidP="00000000" w:rsidRDefault="00000000" w:rsidRPr="00000000" w14:paraId="0000004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6"/>
        </w:tabs>
        <w:spacing w:after="0" w:before="1" w:line="273" w:lineRule="auto"/>
        <w:ind w:left="866" w:right="135" w:hanging="360"/>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Label rouge</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atteste qu’une denrée alimentaire ou un produit agricole non alimentaire et non transformé possède des caractéristiques spécifiques, préalablement fixées établissant un niveau de qualité supérieure par rapport au produit courant.</w:t>
      </w:r>
    </w:p>
    <w:p w:rsidR="00000000" w:rsidDel="00000000" w:rsidP="00000000" w:rsidRDefault="00000000" w:rsidRPr="00000000" w14:paraId="0000004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12"/>
        </w:tabs>
        <w:spacing w:after="0" w:before="10" w:line="240" w:lineRule="auto"/>
        <w:ind w:left="812" w:right="0" w:hanging="309"/>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 STG</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La spécialité traditionnelle garantie protège une recette traditionnelle.</w:t>
      </w:r>
    </w:p>
    <w:p w:rsidR="00000000" w:rsidDel="00000000" w:rsidP="00000000" w:rsidRDefault="00000000" w:rsidRPr="00000000" w14:paraId="0000004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65"/>
        </w:tabs>
        <w:spacing w:after="0" w:before="280" w:line="240" w:lineRule="auto"/>
        <w:ind w:left="865" w:right="0" w:hanging="359"/>
        <w:jc w:val="both"/>
        <w:rPr>
          <w:rFonts w:ascii="Noto Sans Symbols" w:cs="Noto Sans Symbols" w:eastAsia="Noto Sans Symbols" w:hAnsi="Noto Sans Symbols"/>
          <w:b w:val="0"/>
          <w:bCs w:val="0"/>
          <w:i w:val="0"/>
          <w:iCs w:val="0"/>
          <w:smallCaps w:val="0"/>
          <w:strike w:val="0"/>
          <w:color w:val="000000"/>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single"/>
          <w:shd w:fill="auto" w:val="clear"/>
          <w:vertAlign w:val="baseline"/>
          <w:rtl w:val="0"/>
        </w:rPr>
        <w:t xml:space="preserve">Agriculture Biologique (AB)</w:t>
      </w: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Seuls les produits contenant au moins 95% d’ingrédients</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agricoles certifiés biologiques peuvent comporter les termes « biologique » ou « bio</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866"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dans leur dénomination de vente. L’agriculture biologique</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garantit que le mode de production est respectueux de l'environnement et du bien- être animal. Les règles qui encadrent le mode de production biologique sont les mêmes dans toute l’Europe, et les produits importés sont soumis aux mêmes exigences.</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 w:line="240" w:lineRule="auto"/>
        <w:ind w:left="0" w:right="0" w:firstLine="0"/>
        <w:jc w:val="left"/>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6" w:right="135"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Saisonnalité / Produit de saison :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Un produit de saison est un aliment disponible quand il arrive naturellement à maturité, dans sa zone de production, dans des conditions naturelles de production (hors productions hors sol, hors serres chauffées, etc.)</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 w:line="242" w:lineRule="auto"/>
        <w:ind w:left="146" w:right="135"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Transition alimentaire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Fait de changer de mode d’alimentation, de moyen de s’alimenter vers une alimentation plus durable, respectueuse de l’être humain et de la nature, et ayant des bienfaits sur la santé humaine (manger moins de viande, manger des produits de qualité</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46" w:right="0"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bio, autres signes officiels de qualité et labels, etc.).</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 w:line="278.00000000000006" w:lineRule="auto"/>
        <w:ind w:left="146" w:right="132"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Biodégradable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quand un produit, de matière organique, peut se décomposer dans un environnement favorable (conditions de température, d’humidité, de lumière, d’oxygène, etc.) et sous l’action de micro-organismes (bactéries, champignons, etc). Mais les matières biodégradables peuvent elle aussi causer des dommages à notre écosystème si elles sont présentes en trop grande quantité. Elles peuvent toutefois être compostées de façon industrielle pour en faciliter la biodégradabilité ou être recyclées.</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 w:line="278.00000000000006" w:lineRule="auto"/>
        <w:ind w:left="146" w:right="131"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000000"/>
          <w:u w:val="none"/>
          <w:shd w:fill="auto" w:val="clear"/>
          <w:vertAlign w:val="baseline"/>
          <w:rtl w:val="0"/>
        </w:rPr>
        <w:t xml:space="preserve">Compostable </w:t>
      </w: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 C’est l’optimisation du processus de biodégradation. Cela consiste à provoquer et à entretenir, dans les meilleures conditions possibles, ce que la nature fait déjà. Grâce à la présence d’oxygène de l’air et d’humidité (eau), les bactéries se développent et le produit est transformé en compost riche en éléments nutritifs qui peut être intégré au sol pour l’enrichir. Il peut être fait de façon industrielle dans un centre de compostage après collecte. Il existe à ce titre le « label OK compost » visant à désigner les matériaux compostables industriellement. Un produit compostable est donc un produit qui n’a aucun impact négatif sur l’environnement. Au contraire, ils permettent d’enrichir les cultures en humus sain (terre végétale).</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 w:line="278.00000000000006" w:lineRule="auto"/>
        <w:ind w:left="146" w:right="130"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Fonts w:ascii="Helvetica Neue" w:cs="Helvetica Neue" w:eastAsia="Helvetica Neue" w:hAnsi="Helvetica Neue"/>
          <w:i w:val="0"/>
          <w:iCs w:val="0"/>
          <w:smallCaps w:val="0"/>
          <w:strike w:val="0"/>
          <w:color w:val="000000"/>
          <w:u w:val="none"/>
          <w:shd w:fill="auto" w:val="clear"/>
          <w:vertAlign w:val="baseline"/>
          <w:rtl w:val="0"/>
        </w:rPr>
        <w:t xml:space="preserve">Le recyclage : Le recyclage a pour but de valoriser les déchets en les retraitant afin de créer de nouvelles substances, matières ou produits. Cela permet de donner au produit usagé une deuxième vie, pour un usage identique ou différent. Si nous pouvons penser qu’il est écologique de recycler, le recyclage en lui-même peut être source de pollution. Il contribue au réchauffement climatique même s’il permet de diminuer la quantité de déchet.</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78.00000000000006" w:lineRule="auto"/>
        <w:ind w:left="0" w:right="134" w:firstLine="0"/>
        <w:jc w:val="both"/>
        <w:rPr>
          <w:rFonts w:ascii="Helvetica Neue" w:cs="Helvetica Neue" w:eastAsia="Helvetica Neue" w:hAnsi="Helvetica Neue"/>
          <w:i w:val="0"/>
          <w:iCs w:val="0"/>
          <w:smallCaps w:val="0"/>
          <w:strike w:val="0"/>
          <w:color w:val="000000"/>
          <w:u w:val="none"/>
          <w:shd w:fill="auto" w:val="clear"/>
          <w:vertAlign w:val="baseline"/>
        </w:rPr>
      </w:pPr>
      <w:r w:rsidDel="00000000" w:rsidR="00000000" w:rsidRPr="00000000">
        <w:rPr>
          <w:rtl w:val="0"/>
        </w:rPr>
      </w:r>
    </w:p>
    <w:sectPr>
      <w:headerReference r:id="rId13" w:type="default"/>
      <w:footerReference r:id="rId14" w:type="default"/>
      <w:pgSz w:h="16850" w:w="11920" w:orient="portrait"/>
      <w:pgMar w:bottom="2420" w:top="1640" w:left="1275" w:right="1275" w:header="730" w:footer="222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75425</wp:posOffset>
              </wp:positionH>
              <wp:positionV relativeFrom="paragraph">
                <wp:posOffset>9138094</wp:posOffset>
              </wp:positionV>
              <wp:extent cx="3808729" cy="1120775"/>
              <wp:effectExtent b="0" l="0" r="0" t="0"/>
              <wp:wrapNone/>
              <wp:docPr id="19" name=""/>
              <a:graphic>
                <a:graphicData uri="http://schemas.microsoft.com/office/word/2010/wordprocessingShape">
                  <wps:wsp>
                    <wps:cNvSpPr/>
                    <wps:cNvPr id="3" name="Shape 3"/>
                    <wps:spPr>
                      <a:xfrm>
                        <a:off x="3446398" y="3224375"/>
                        <a:ext cx="3799204" cy="1111250"/>
                      </a:xfrm>
                      <a:prstGeom prst="rect">
                        <a:avLst/>
                      </a:prstGeom>
                      <a:noFill/>
                      <a:ln>
                        <a:noFill/>
                      </a:ln>
                    </wps:spPr>
                    <wps:txbx>
                      <w:txbxContent>
                        <w:p w:rsidR="00000000" w:rsidDel="00000000" w:rsidP="00000000" w:rsidRDefault="00000000" w:rsidRPr="00000000">
                          <w:pPr>
                            <w:spacing w:after="0" w:before="0" w:line="192.9999876022339"/>
                            <w:ind w:left="20" w:right="0" w:firstLine="20"/>
                            <w:jc w:val="left"/>
                            <w:textDirection w:val="btLr"/>
                          </w:pPr>
                          <w:r w:rsidDel="00000000" w:rsidR="00000000" w:rsidRPr="00000000">
                            <w:rPr>
                              <w:rFonts w:ascii="Calibri" w:cs="Calibri" w:eastAsia="Calibri" w:hAnsi="Calibri"/>
                              <w:b w:val="0"/>
                              <w:i w:val="0"/>
                              <w:smallCaps w:val="0"/>
                              <w:strike w:val="0"/>
                              <w:color w:val="000000"/>
                              <w:sz w:val="17"/>
                              <w:vertAlign w:val="baseline"/>
                            </w:rPr>
                            <w:t xml:space="preserve">Sources :</w:t>
                          </w:r>
                        </w:p>
                        <w:p w:rsidR="00000000" w:rsidDel="00000000" w:rsidP="00000000" w:rsidRDefault="00000000" w:rsidRPr="00000000">
                          <w:pPr>
                            <w:spacing w:after="0" w:before="12.999999523162842" w:line="240"/>
                            <w:ind w:left="20" w:right="0" w:firstLine="20"/>
                            <w:jc w:val="left"/>
                            <w:textDirection w:val="btLr"/>
                          </w:pPr>
                          <w:r w:rsidDel="00000000" w:rsidR="00000000" w:rsidRPr="00000000">
                            <w:rPr>
                              <w:rFonts w:ascii="Calibri" w:cs="Calibri" w:eastAsia="Calibri" w:hAnsi="Calibri"/>
                              <w:b w:val="0"/>
                              <w:i w:val="0"/>
                              <w:smallCaps w:val="0"/>
                              <w:strike w:val="0"/>
                              <w:color w:val="000000"/>
                              <w:sz w:val="17"/>
                              <w:vertAlign w:val="baseline"/>
                            </w:rPr>
                          </w:r>
                          <w:r w:rsidDel="00000000" w:rsidR="00000000" w:rsidRPr="00000000">
                            <w:rPr>
                              <w:rFonts w:ascii="Calibri" w:cs="Calibri" w:eastAsia="Calibri" w:hAnsi="Calibri"/>
                              <w:b w:val="0"/>
                              <w:i w:val="0"/>
                              <w:smallCaps w:val="0"/>
                              <w:strike w:val="0"/>
                              <w:color w:val="000000"/>
                              <w:sz w:val="17"/>
                              <w:vertAlign w:val="baseline"/>
                            </w:rPr>
                            <w:t xml:space="preserve">1. Dictionnaire Larousse et Cuisine Larousse</w:t>
                          </w:r>
                        </w:p>
                        <w:p w:rsidR="00000000" w:rsidDel="00000000" w:rsidP="00000000" w:rsidRDefault="00000000" w:rsidRPr="00000000">
                          <w:pPr>
                            <w:spacing w:after="0" w:before="12.999999523162842" w:line="240"/>
                            <w:ind w:left="20" w:right="0" w:firstLine="20"/>
                            <w:jc w:val="left"/>
                            <w:textDirection w:val="btLr"/>
                          </w:pPr>
                          <w:r w:rsidDel="00000000" w:rsidR="00000000" w:rsidRPr="00000000">
                            <w:rPr>
                              <w:rFonts w:ascii="Calibri" w:cs="Calibri" w:eastAsia="Calibri" w:hAnsi="Calibri"/>
                              <w:b w:val="0"/>
                              <w:i w:val="0"/>
                              <w:smallCaps w:val="0"/>
                              <w:strike w:val="0"/>
                              <w:color w:val="000000"/>
                              <w:sz w:val="17"/>
                              <w:vertAlign w:val="baseline"/>
                            </w:rPr>
                          </w:r>
                          <w:r w:rsidDel="00000000" w:rsidR="00000000" w:rsidRPr="00000000">
                            <w:rPr>
                              <w:rFonts w:ascii="Calibri" w:cs="Calibri" w:eastAsia="Calibri" w:hAnsi="Calibri"/>
                              <w:b w:val="0"/>
                              <w:i w:val="0"/>
                              <w:smallCaps w:val="0"/>
                              <w:strike w:val="0"/>
                              <w:color w:val="000000"/>
                              <w:sz w:val="17"/>
                              <w:vertAlign w:val="baseline"/>
                            </w:rPr>
                            <w:t xml:space="preserve">2. INPES – Le guide alimentaire pour tous « La santé vient en mangeant »</w:t>
                          </w:r>
                        </w:p>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Calibri" w:cs="Calibri" w:eastAsia="Calibri" w:hAnsi="Calibri"/>
                              <w:b w:val="0"/>
                              <w:i w:val="0"/>
                              <w:smallCaps w:val="0"/>
                              <w:strike w:val="0"/>
                              <w:color w:val="000000"/>
                              <w:sz w:val="17"/>
                              <w:vertAlign w:val="baseline"/>
                            </w:rPr>
                          </w:r>
                          <w:r w:rsidDel="00000000" w:rsidR="00000000" w:rsidRPr="00000000">
                            <w:rPr>
                              <w:rFonts w:ascii="Calibri" w:cs="Calibri" w:eastAsia="Calibri" w:hAnsi="Calibri"/>
                              <w:b w:val="0"/>
                              <w:i w:val="0"/>
                              <w:smallCaps w:val="0"/>
                              <w:strike w:val="0"/>
                              <w:color w:val="000000"/>
                              <w:sz w:val="17"/>
                              <w:vertAlign w:val="baseline"/>
                            </w:rPr>
                            <w:t xml:space="preserve">3. Site du Ministère de l’Agriculture, de l’Agroalimentaire et de la forêt</w:t>
                          </w:r>
                        </w:p>
                        <w:p w:rsidR="00000000" w:rsidDel="00000000" w:rsidP="00000000" w:rsidRDefault="00000000" w:rsidRPr="00000000">
                          <w:pPr>
                            <w:spacing w:after="0" w:before="8.00000011920929" w:line="240"/>
                            <w:ind w:left="20" w:right="0" w:firstLine="20"/>
                            <w:jc w:val="left"/>
                            <w:textDirection w:val="btLr"/>
                          </w:pPr>
                          <w:r w:rsidDel="00000000" w:rsidR="00000000" w:rsidRPr="00000000">
                            <w:rPr>
                              <w:rFonts w:ascii="Calibri" w:cs="Calibri" w:eastAsia="Calibri" w:hAnsi="Calibri"/>
                              <w:b w:val="0"/>
                              <w:i w:val="0"/>
                              <w:smallCaps w:val="0"/>
                              <w:strike w:val="0"/>
                              <w:color w:val="000000"/>
                              <w:sz w:val="17"/>
                              <w:vertAlign w:val="baseline"/>
                            </w:rPr>
                          </w:r>
                          <w:r w:rsidDel="00000000" w:rsidR="00000000" w:rsidRPr="00000000">
                            <w:rPr>
                              <w:rFonts w:ascii="Calibri" w:cs="Calibri" w:eastAsia="Calibri" w:hAnsi="Calibri"/>
                              <w:b w:val="0"/>
                              <w:i w:val="0"/>
                              <w:smallCaps w:val="0"/>
                              <w:strike w:val="0"/>
                              <w:color w:val="000000"/>
                              <w:sz w:val="17"/>
                              <w:vertAlign w:val="baseline"/>
                            </w:rPr>
                            <w:t xml:space="preserve">4. Chambre de l’agriculture</w:t>
                          </w:r>
                        </w:p>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Calibri" w:cs="Calibri" w:eastAsia="Calibri" w:hAnsi="Calibri"/>
                              <w:b w:val="0"/>
                              <w:i w:val="0"/>
                              <w:smallCaps w:val="0"/>
                              <w:strike w:val="0"/>
                              <w:color w:val="000000"/>
                              <w:sz w:val="17"/>
                              <w:vertAlign w:val="baseline"/>
                            </w:rPr>
                          </w:r>
                          <w:r w:rsidDel="00000000" w:rsidR="00000000" w:rsidRPr="00000000">
                            <w:rPr>
                              <w:rFonts w:ascii="Calibri" w:cs="Calibri" w:eastAsia="Calibri" w:hAnsi="Calibri"/>
                              <w:b w:val="0"/>
                              <w:i w:val="0"/>
                              <w:smallCaps w:val="0"/>
                              <w:strike w:val="0"/>
                              <w:color w:val="000000"/>
                              <w:sz w:val="17"/>
                              <w:vertAlign w:val="baseline"/>
                            </w:rPr>
                            <w:t xml:space="preserve">5. Guide de la restauration collective Responsable – Fondation Nicolas Hulot</w:t>
                          </w:r>
                        </w:p>
                        <w:p w:rsidR="00000000" w:rsidDel="00000000" w:rsidP="00000000" w:rsidRDefault="00000000" w:rsidRPr="00000000">
                          <w:pPr>
                            <w:spacing w:after="0" w:before="12.999999523162842" w:line="240"/>
                            <w:ind w:left="20" w:right="0" w:firstLine="20"/>
                            <w:jc w:val="left"/>
                            <w:textDirection w:val="btLr"/>
                          </w:pPr>
                          <w:r w:rsidDel="00000000" w:rsidR="00000000" w:rsidRPr="00000000">
                            <w:rPr>
                              <w:rFonts w:ascii="Calibri" w:cs="Calibri" w:eastAsia="Calibri" w:hAnsi="Calibri"/>
                              <w:b w:val="0"/>
                              <w:i w:val="0"/>
                              <w:smallCaps w:val="0"/>
                              <w:strike w:val="0"/>
                              <w:color w:val="000000"/>
                              <w:sz w:val="17"/>
                              <w:vertAlign w:val="baseline"/>
                            </w:rPr>
                          </w:r>
                          <w:r w:rsidDel="00000000" w:rsidR="00000000" w:rsidRPr="00000000">
                            <w:rPr>
                              <w:rFonts w:ascii="Calibri" w:cs="Calibri" w:eastAsia="Calibri" w:hAnsi="Calibri"/>
                              <w:b w:val="0"/>
                              <w:i w:val="0"/>
                              <w:smallCaps w:val="0"/>
                              <w:strike w:val="0"/>
                              <w:color w:val="000000"/>
                              <w:sz w:val="17"/>
                              <w:vertAlign w:val="baseline"/>
                            </w:rPr>
                            <w:t xml:space="preserve">6. Glossaire de la restauration collective (site de l’Education Nationale de la Corse)</w:t>
                          </w:r>
                        </w:p>
                        <w:p w:rsidR="00000000" w:rsidDel="00000000" w:rsidP="00000000" w:rsidRDefault="00000000" w:rsidRPr="00000000">
                          <w:pPr>
                            <w:spacing w:after="0" w:before="11.000000238418579" w:line="240"/>
                            <w:ind w:left="20" w:right="0" w:firstLine="20"/>
                            <w:jc w:val="left"/>
                            <w:textDirection w:val="btLr"/>
                          </w:pPr>
                          <w:r w:rsidDel="00000000" w:rsidR="00000000" w:rsidRPr="00000000">
                            <w:rPr>
                              <w:rFonts w:ascii="Calibri" w:cs="Calibri" w:eastAsia="Calibri" w:hAnsi="Calibri"/>
                              <w:b w:val="0"/>
                              <w:i w:val="0"/>
                              <w:smallCaps w:val="0"/>
                              <w:strike w:val="0"/>
                              <w:color w:val="000000"/>
                              <w:sz w:val="17"/>
                              <w:vertAlign w:val="baseline"/>
                            </w:rPr>
                          </w:r>
                          <w:r w:rsidDel="00000000" w:rsidR="00000000" w:rsidRPr="00000000">
                            <w:rPr>
                              <w:rFonts w:ascii="Calibri" w:cs="Calibri" w:eastAsia="Calibri" w:hAnsi="Calibri"/>
                              <w:b w:val="0"/>
                              <w:i w:val="0"/>
                              <w:smallCaps w:val="0"/>
                              <w:strike w:val="0"/>
                              <w:color w:val="000000"/>
                              <w:sz w:val="17"/>
                              <w:vertAlign w:val="baseline"/>
                            </w:rPr>
                            <w:t xml:space="preserve">7. Interfel Bio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75425</wp:posOffset>
              </wp:positionH>
              <wp:positionV relativeFrom="paragraph">
                <wp:posOffset>9138094</wp:posOffset>
              </wp:positionV>
              <wp:extent cx="3808729" cy="1120775"/>
              <wp:effectExtent b="0" l="0" r="0" t="0"/>
              <wp:wrapNone/>
              <wp:docPr id="1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808729" cy="112077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posOffset>886460</wp:posOffset>
          </wp:positionH>
          <wp:positionV relativeFrom="page">
            <wp:posOffset>463548</wp:posOffset>
          </wp:positionV>
          <wp:extent cx="626265" cy="579120"/>
          <wp:effectExtent b="0" l="0" r="0" t="0"/>
          <wp:wrapNone/>
          <wp:docPr id="20"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26265" cy="579120"/>
                  </a:xfrm>
                  <a:prstGeom prst="rect"/>
                  <a:ln/>
                </pic:spPr>
              </pic:pic>
            </a:graphicData>
          </a:graphic>
        </wp:anchor>
      </w:drawing>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1674126</wp:posOffset>
              </wp:positionH>
              <wp:positionV relativeFrom="page">
                <wp:posOffset>476504</wp:posOffset>
              </wp:positionV>
              <wp:extent cx="5483225" cy="200025"/>
              <wp:effectExtent b="0" l="0" r="0" t="0"/>
              <wp:wrapNone/>
              <wp:docPr id="18" name=""/>
              <a:graphic>
                <a:graphicData uri="http://schemas.microsoft.com/office/word/2010/wordprocessingShape">
                  <wps:wsp>
                    <wps:cNvSpPr/>
                    <wps:cNvPr id="2" name="Shape 2"/>
                    <wps:spPr>
                      <a:xfrm>
                        <a:off x="2609150" y="3684750"/>
                        <a:ext cx="5473700" cy="190500"/>
                      </a:xfrm>
                      <a:prstGeom prst="rect">
                        <a:avLst/>
                      </a:prstGeom>
                      <a:noFill/>
                      <a:ln>
                        <a:noFill/>
                      </a:ln>
                    </wps:spPr>
                    <wps:txbx>
                      <w:txbxContent>
                        <w:p w:rsidR="00000000" w:rsidDel="00000000" w:rsidP="00000000" w:rsidRDefault="00000000" w:rsidRPr="00000000">
                          <w:pPr>
                            <w:spacing w:after="0" w:before="0" w:line="284.00001525878906"/>
                            <w:ind w:left="20" w:right="0" w:firstLine="20"/>
                            <w:jc w:val="left"/>
                            <w:textDirection w:val="btLr"/>
                          </w:pPr>
                          <w:r w:rsidDel="00000000" w:rsidR="00000000" w:rsidRPr="00000000">
                            <w:rPr>
                              <w:rFonts w:ascii="Calibri" w:cs="Calibri" w:eastAsia="Calibri" w:hAnsi="Calibri"/>
                              <w:b w:val="1"/>
                              <w:i w:val="0"/>
                              <w:smallCaps w:val="0"/>
                              <w:strike w:val="0"/>
                              <w:color w:val="000000"/>
                              <w:sz w:val="26"/>
                              <w:vertAlign w:val="baseline"/>
                            </w:rPr>
                            <w:t xml:space="preserve">Annexe n°1 : Glossaire – Marché de restauration de l’ARA (Bron et Isle d’Abeau)</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1674126</wp:posOffset>
              </wp:positionH>
              <wp:positionV relativeFrom="page">
                <wp:posOffset>476504</wp:posOffset>
              </wp:positionV>
              <wp:extent cx="5483225" cy="200025"/>
              <wp:effectExtent b="0" l="0" r="0" t="0"/>
              <wp:wrapNone/>
              <wp:docPr id="18"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5483225" cy="20002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866" w:hanging="360.00000000000006"/>
      </w:pPr>
      <w:rPr>
        <w:rFonts w:ascii="Noto Sans Symbols" w:cs="Noto Sans Symbols" w:eastAsia="Noto Sans Symbols" w:hAnsi="Noto Sans Symbols"/>
      </w:rPr>
    </w:lvl>
    <w:lvl w:ilvl="1">
      <w:start w:val="0"/>
      <w:numFmt w:val="bullet"/>
      <w:lvlText w:val="o"/>
      <w:lvlJc w:val="left"/>
      <w:pPr>
        <w:ind w:left="1586" w:hanging="363"/>
      </w:pPr>
      <w:rPr>
        <w:rFonts w:ascii="Courier New" w:cs="Courier New" w:eastAsia="Courier New" w:hAnsi="Courier New"/>
        <w:b w:val="0"/>
        <w:bCs w:val="0"/>
        <w:i w:val="0"/>
        <w:iCs w:val="0"/>
        <w:sz w:val="21"/>
        <w:szCs w:val="21"/>
      </w:rPr>
    </w:lvl>
    <w:lvl w:ilvl="2">
      <w:start w:val="0"/>
      <w:numFmt w:val="bullet"/>
      <w:lvlText w:val="▪"/>
      <w:lvlJc w:val="left"/>
      <w:pPr>
        <w:ind w:left="2306" w:hanging="363"/>
      </w:pPr>
      <w:rPr>
        <w:rFonts w:ascii="Noto Sans Symbols" w:cs="Noto Sans Symbols" w:eastAsia="Noto Sans Symbols" w:hAnsi="Noto Sans Symbols"/>
        <w:b w:val="0"/>
        <w:bCs w:val="0"/>
        <w:i w:val="0"/>
        <w:iCs w:val="0"/>
        <w:sz w:val="21"/>
        <w:szCs w:val="21"/>
      </w:rPr>
    </w:lvl>
    <w:lvl w:ilvl="3">
      <w:start w:val="0"/>
      <w:numFmt w:val="bullet"/>
      <w:lvlText w:val="•"/>
      <w:lvlJc w:val="left"/>
      <w:pPr>
        <w:ind w:left="3182" w:hanging="363"/>
      </w:pPr>
      <w:rPr/>
    </w:lvl>
    <w:lvl w:ilvl="4">
      <w:start w:val="0"/>
      <w:numFmt w:val="bullet"/>
      <w:lvlText w:val="•"/>
      <w:lvlJc w:val="left"/>
      <w:pPr>
        <w:ind w:left="4065" w:hanging="363"/>
      </w:pPr>
      <w:rPr/>
    </w:lvl>
    <w:lvl w:ilvl="5">
      <w:start w:val="0"/>
      <w:numFmt w:val="bullet"/>
      <w:lvlText w:val="•"/>
      <w:lvlJc w:val="left"/>
      <w:pPr>
        <w:ind w:left="4947" w:hanging="363"/>
      </w:pPr>
      <w:rPr/>
    </w:lvl>
    <w:lvl w:ilvl="6">
      <w:start w:val="0"/>
      <w:numFmt w:val="bullet"/>
      <w:lvlText w:val="•"/>
      <w:lvlJc w:val="left"/>
      <w:pPr>
        <w:ind w:left="5830" w:hanging="363"/>
      </w:pPr>
      <w:rPr/>
    </w:lvl>
    <w:lvl w:ilvl="7">
      <w:start w:val="0"/>
      <w:numFmt w:val="bullet"/>
      <w:lvlText w:val="•"/>
      <w:lvlJc w:val="left"/>
      <w:pPr>
        <w:ind w:left="6713" w:hanging="363"/>
      </w:pPr>
      <w:rPr/>
    </w:lvl>
    <w:lvl w:ilvl="8">
      <w:start w:val="0"/>
      <w:numFmt w:val="bullet"/>
      <w:lvlText w:val="•"/>
      <w:lvlJc w:val="left"/>
      <w:pPr>
        <w:ind w:left="7595" w:hanging="363"/>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84" w:lineRule="auto"/>
      <w:ind w:left="20"/>
    </w:pPr>
    <w:rPr>
      <w:rFonts w:ascii="Calibri" w:cs="Calibri" w:eastAsia="Calibri" w:hAnsi="Calibri"/>
      <w:b w:val="1"/>
      <w:bCs w:val="1"/>
      <w:sz w:val="26"/>
      <w:szCs w:val="26"/>
    </w:rPr>
  </w:style>
  <w:style w:type="paragraph" w:styleId="Heading2">
    <w:name w:val="heading 2"/>
    <w:basedOn w:val="Normal"/>
    <w:next w:val="Normal"/>
    <w:pPr>
      <w:ind w:left="146"/>
    </w:pPr>
    <w:rPr>
      <w:rFonts w:ascii="Calibri" w:cs="Calibri" w:eastAsia="Calibri" w:hAnsi="Calibri"/>
      <w:b w:val="1"/>
      <w:bCs w:val="1"/>
      <w:sz w:val="24"/>
      <w:szCs w:val="24"/>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ind w:left="146"/>
      <w:jc w:val="both"/>
    </w:pPr>
    <w:rPr>
      <w:rFonts w:ascii="Calibri" w:cs="Calibri" w:eastAsia="Calibri" w:hAnsi="Calibri"/>
      <w:sz w:val="24"/>
      <w:szCs w:val="24"/>
      <w:lang w:bidi="ar-SA" w:eastAsia="en-US" w:val="fr-FR"/>
    </w:rPr>
  </w:style>
  <w:style w:type="paragraph" w:styleId="ListParagraph">
    <w:name w:val="List Paragraph"/>
    <w:basedOn w:val="Normal"/>
    <w:uiPriority w:val="1"/>
    <w:qFormat w:val="1"/>
    <w:pPr>
      <w:spacing w:before="2"/>
      <w:ind w:left="866" w:hanging="360"/>
      <w:jc w:val="both"/>
    </w:pPr>
    <w:rPr>
      <w:rFonts w:ascii="Calibri" w:cs="Calibri" w:eastAsia="Calibri" w:hAnsi="Calibri"/>
      <w:lang w:bidi="ar-SA" w:eastAsia="en-US" w:val="fr-FR"/>
    </w:rPr>
  </w:style>
  <w:style w:type="paragraph" w:styleId="TableParagraph">
    <w:name w:val="Table Paragraph"/>
    <w:basedOn w:val="Normal"/>
    <w:uiPriority w:val="1"/>
    <w:qFormat w:val="1"/>
    <w:pPr/>
    <w:rPr>
      <w:lang w:bidi="ar-SA" w:eastAsia="en-US" w:val="fr-F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egifrance.gouv.fr/affichTexte.do%3Bjsessionid%3D702D1C4C41DBFB79B23245B3C2C59A06.tplgfr31s_2?cidTexte=JORFTEXT000037547946&amp;dateTexte&amp;oldAction=rechJO&amp;categorieLien=id&amp;idJO=JORFCONT000037547943&amp;JORFARTI000037547983" TargetMode="External"/><Relationship Id="rId10" Type="http://schemas.openxmlformats.org/officeDocument/2006/relationships/hyperlink" Target="https://www.legifrance.gouv.fr/affichTexte.do%3Bjsessionid%3D702D1C4C41DBFB79B23245B3C2C59A06.tplgfr31s_2?cidTexte=JORFTEXT000037547946&amp;dateTexte&amp;oldAction=rechJO&amp;categorieLien=id&amp;idJO=JORFCONT000037547943&amp;JORFARTI000037547983" TargetMode="External"/><Relationship Id="rId13" Type="http://schemas.openxmlformats.org/officeDocument/2006/relationships/header" Target="header1.xml"/><Relationship Id="rId12" Type="http://schemas.openxmlformats.org/officeDocument/2006/relationships/hyperlink" Target="http://www.franceagrimer.fr/filiere-peche-e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egifrance.gouv.fr/affichTexte.do%3Bjsessionid%3D702D1C4C41DBFB79B23245B3C2C59A06.tplgfr31s_2?cidTexte=JORFTEXT000037547946&amp;dateTexte&amp;oldAction=rechJO&amp;categorieLien=id&amp;idJO=JORFCONT000037547943&amp;JORFARTI000037547983"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legifrance.gouv.fr/jorf/id/JORFTEXT000041553759" TargetMode="External"/><Relationship Id="rId8" Type="http://schemas.openxmlformats.org/officeDocument/2006/relationships/hyperlink" Target="https://www.legifrance.gouv.fr/jorf/id/JORFTEXT00004395692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wcSMT2rvxfzfPT2RBk8IHGnQqg==">CgMxLjA4AHIhMVNwaWZtTHFGZEhUSnBoQ1pEbGJSSk5uVFh4VHZqRWRK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2026-03-13T08:29:10Z</dcterms:created>
  <dc:creator>Mathilde AZZANO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2021-03-29T00:00:00Z</vt:filetime>
  </property>
  <property fmtid="{D5CDD505-2E9C-101B-9397-08002B2CF9AE}" pid="3" name="Creator">
    <vt:lpwstr>Microsoft® Word pour Microsoft 365</vt:lpwstr>
  </property>
  <property fmtid="{D5CDD505-2E9C-101B-9397-08002B2CF9AE}" pid="4" name="LastSaved">
    <vt:filetime>2026-03-13T00:00:00Z</vt:filetime>
  </property>
  <property fmtid="{D5CDD505-2E9C-101B-9397-08002B2CF9AE}" pid="5" name="Producer">
    <vt:lpwstr>Microsoft® Word pour Microsoft 365</vt:lpwstr>
  </property>
</Properties>
</file>